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B" w:rsidRDefault="00A711CB" w:rsidP="003B2DBB">
      <w:pPr>
        <w:tabs>
          <w:tab w:val="left" w:pos="720"/>
          <w:tab w:val="left" w:pos="1440"/>
          <w:tab w:val="left" w:pos="2160"/>
          <w:tab w:val="left" w:pos="2880"/>
          <w:tab w:val="left" w:pos="3600"/>
          <w:tab w:val="left" w:pos="4320"/>
          <w:tab w:val="left" w:pos="6000"/>
        </w:tabs>
        <w:jc w:val="center"/>
        <w:rPr>
          <w:rFonts w:ascii="Verdana" w:hAnsi="Verdana" w:cs="Arial"/>
          <w:b/>
          <w:sz w:val="20"/>
          <w:szCs w:val="20"/>
        </w:rPr>
      </w:pPr>
      <w:r w:rsidRPr="00100D58">
        <w:rPr>
          <w:rFonts w:ascii="Verdana" w:hAnsi="Verdan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25pt;height:55.5pt;visibility:visible">
            <v:imagedata r:id="rId5" o:title=""/>
          </v:shape>
        </w:pict>
      </w:r>
    </w:p>
    <w:p w:rsidR="00A711CB" w:rsidRDefault="00A711CB" w:rsidP="003B2DBB">
      <w:pPr>
        <w:tabs>
          <w:tab w:val="left" w:pos="720"/>
          <w:tab w:val="left" w:pos="1440"/>
          <w:tab w:val="left" w:pos="2160"/>
          <w:tab w:val="left" w:pos="2880"/>
          <w:tab w:val="left" w:pos="3600"/>
          <w:tab w:val="left" w:pos="4320"/>
          <w:tab w:val="left" w:pos="6000"/>
        </w:tabs>
        <w:jc w:val="both"/>
        <w:rPr>
          <w:rFonts w:ascii="Verdana" w:hAnsi="Verdana" w:cs="Arial"/>
          <w:b/>
          <w:sz w:val="20"/>
          <w:szCs w:val="20"/>
        </w:rPr>
      </w:pPr>
    </w:p>
    <w:p w:rsidR="00A711CB" w:rsidRDefault="00A711CB" w:rsidP="003B2DBB">
      <w:pPr>
        <w:shd w:val="clear" w:color="auto" w:fill="000000"/>
        <w:tabs>
          <w:tab w:val="left" w:pos="720"/>
          <w:tab w:val="left" w:pos="1440"/>
          <w:tab w:val="left" w:pos="2160"/>
          <w:tab w:val="left" w:pos="2880"/>
          <w:tab w:val="left" w:pos="3600"/>
          <w:tab w:val="left" w:pos="4320"/>
          <w:tab w:val="left" w:pos="6000"/>
        </w:tabs>
        <w:jc w:val="center"/>
        <w:rPr>
          <w:rFonts w:ascii="Verdana" w:hAnsi="Verdana" w:cs="Arial"/>
          <w:b/>
          <w:sz w:val="20"/>
          <w:szCs w:val="20"/>
        </w:rPr>
      </w:pPr>
      <w:r>
        <w:rPr>
          <w:rFonts w:ascii="Verdana" w:hAnsi="Verdana" w:cs="Arial"/>
          <w:b/>
          <w:sz w:val="20"/>
          <w:szCs w:val="20"/>
        </w:rPr>
        <w:t>NEA – Action for Warm Homes: Current Campaigns</w:t>
      </w:r>
    </w:p>
    <w:p w:rsidR="00A711CB" w:rsidRDefault="00A711CB" w:rsidP="003B2DBB">
      <w:pPr>
        <w:tabs>
          <w:tab w:val="left" w:pos="720"/>
          <w:tab w:val="left" w:pos="1440"/>
          <w:tab w:val="left" w:pos="2160"/>
          <w:tab w:val="left" w:pos="2880"/>
          <w:tab w:val="left" w:pos="3600"/>
          <w:tab w:val="left" w:pos="4320"/>
          <w:tab w:val="left" w:pos="6000"/>
        </w:tabs>
        <w:jc w:val="both"/>
        <w:rPr>
          <w:rFonts w:ascii="Verdana" w:hAnsi="Verdana" w:cs="Arial"/>
          <w:b/>
          <w:sz w:val="20"/>
          <w:szCs w:val="20"/>
        </w:rPr>
      </w:pPr>
    </w:p>
    <w:p w:rsidR="00A711CB" w:rsidRPr="003B2DBB" w:rsidRDefault="00A711CB" w:rsidP="003B2DBB">
      <w:pPr>
        <w:tabs>
          <w:tab w:val="left" w:pos="720"/>
          <w:tab w:val="left" w:pos="1440"/>
          <w:tab w:val="left" w:pos="2160"/>
          <w:tab w:val="left" w:pos="2880"/>
          <w:tab w:val="left" w:pos="3600"/>
          <w:tab w:val="left" w:pos="4320"/>
          <w:tab w:val="left" w:pos="6000"/>
        </w:tabs>
        <w:jc w:val="both"/>
        <w:rPr>
          <w:rFonts w:ascii="Verdana" w:hAnsi="Verdana" w:cs="Arial"/>
          <w:b/>
          <w:sz w:val="20"/>
          <w:szCs w:val="20"/>
        </w:rPr>
      </w:pPr>
      <w:r>
        <w:rPr>
          <w:rFonts w:ascii="Verdana" w:hAnsi="Verdana" w:cs="Arial"/>
          <w:b/>
          <w:sz w:val="20"/>
          <w:szCs w:val="20"/>
        </w:rPr>
        <w:t>Households in Fuel Poverty</w:t>
      </w:r>
    </w:p>
    <w:p w:rsidR="00A711CB" w:rsidRPr="003B2DBB" w:rsidRDefault="00A711CB" w:rsidP="003B2DBB">
      <w:pPr>
        <w:pStyle w:val="ListParagraph"/>
        <w:numPr>
          <w:ilvl w:val="0"/>
          <w:numId w:val="3"/>
        </w:numPr>
        <w:tabs>
          <w:tab w:val="left" w:pos="720"/>
          <w:tab w:val="left" w:pos="1440"/>
          <w:tab w:val="left" w:pos="2160"/>
          <w:tab w:val="left" w:pos="2880"/>
          <w:tab w:val="left" w:pos="3600"/>
          <w:tab w:val="left" w:pos="4320"/>
          <w:tab w:val="left" w:pos="6000"/>
        </w:tabs>
        <w:jc w:val="both"/>
        <w:rPr>
          <w:rFonts w:ascii="Verdana" w:hAnsi="Verdana" w:cs="Arial"/>
          <w:sz w:val="20"/>
          <w:szCs w:val="20"/>
        </w:rPr>
      </w:pPr>
      <w:r w:rsidRPr="003B2DBB">
        <w:rPr>
          <w:rFonts w:ascii="Verdana" w:hAnsi="Verdana" w:cs="Arial"/>
          <w:sz w:val="20"/>
          <w:szCs w:val="20"/>
        </w:rPr>
        <w:t>The Government recently estimated that in 2011</w:t>
      </w:r>
      <w:r>
        <w:rPr>
          <w:rFonts w:ascii="Verdana" w:hAnsi="Verdana" w:cs="Arial"/>
          <w:sz w:val="20"/>
          <w:szCs w:val="20"/>
        </w:rPr>
        <w:t xml:space="preserve"> </w:t>
      </w:r>
      <w:r w:rsidRPr="003B2DBB">
        <w:rPr>
          <w:rFonts w:ascii="Verdana" w:hAnsi="Verdana" w:cs="Arial"/>
          <w:sz w:val="20"/>
          <w:szCs w:val="20"/>
        </w:rPr>
        <w:t xml:space="preserve">the number of fuel poor households was </w:t>
      </w:r>
      <w:bookmarkStart w:id="0" w:name="_GoBack"/>
      <w:bookmarkEnd w:id="0"/>
      <w:r w:rsidRPr="003B2DBB">
        <w:rPr>
          <w:rFonts w:ascii="Verdana" w:hAnsi="Verdana" w:cs="Arial"/>
          <w:sz w:val="20"/>
          <w:szCs w:val="20"/>
        </w:rPr>
        <w:t xml:space="preserve">around 4.5 million, representing around 17 per cent of all UK households. </w:t>
      </w:r>
      <w:r w:rsidRPr="00C27506">
        <w:rPr>
          <w:rFonts w:ascii="Verdana" w:hAnsi="Verdana" w:cs="Arial"/>
          <w:sz w:val="20"/>
          <w:szCs w:val="20"/>
        </w:rPr>
        <w:t>Fuel poverty levels in 2012 have not been released and are still unclear</w:t>
      </w:r>
      <w:r>
        <w:rPr>
          <w:rFonts w:ascii="Verdana" w:hAnsi="Verdana" w:cs="Arial"/>
          <w:sz w:val="20"/>
          <w:szCs w:val="20"/>
        </w:rPr>
        <w:t>.</w:t>
      </w:r>
    </w:p>
    <w:p w:rsidR="00A711CB" w:rsidRDefault="00A711CB" w:rsidP="003B2DBB">
      <w:pPr>
        <w:tabs>
          <w:tab w:val="left" w:pos="720"/>
          <w:tab w:val="left" w:pos="1440"/>
          <w:tab w:val="left" w:pos="2160"/>
          <w:tab w:val="left" w:pos="2880"/>
          <w:tab w:val="left" w:pos="3600"/>
          <w:tab w:val="left" w:pos="4320"/>
          <w:tab w:val="left" w:pos="6000"/>
        </w:tabs>
        <w:jc w:val="both"/>
        <w:rPr>
          <w:rFonts w:ascii="Verdana" w:hAnsi="Verdana" w:cs="Arial"/>
          <w:sz w:val="20"/>
          <w:szCs w:val="20"/>
        </w:rPr>
      </w:pPr>
    </w:p>
    <w:p w:rsidR="00A711CB" w:rsidRPr="003B2DBB" w:rsidRDefault="00A711CB" w:rsidP="003B2DBB">
      <w:pPr>
        <w:pStyle w:val="ListParagraph"/>
        <w:numPr>
          <w:ilvl w:val="0"/>
          <w:numId w:val="3"/>
        </w:numPr>
        <w:tabs>
          <w:tab w:val="left" w:pos="720"/>
          <w:tab w:val="left" w:pos="1440"/>
          <w:tab w:val="left" w:pos="2160"/>
          <w:tab w:val="left" w:pos="2880"/>
          <w:tab w:val="left" w:pos="3600"/>
          <w:tab w:val="left" w:pos="4320"/>
          <w:tab w:val="left" w:pos="6000"/>
        </w:tabs>
        <w:jc w:val="both"/>
        <w:rPr>
          <w:rFonts w:ascii="Verdana" w:hAnsi="Verdana" w:cs="Arial"/>
          <w:sz w:val="20"/>
          <w:szCs w:val="20"/>
        </w:rPr>
      </w:pPr>
      <w:r>
        <w:rPr>
          <w:rFonts w:ascii="Verdana" w:hAnsi="Verdana" w:cs="Arial"/>
          <w:sz w:val="20"/>
          <w:szCs w:val="20"/>
        </w:rPr>
        <w:t>However l</w:t>
      </w:r>
      <w:r w:rsidRPr="003B2DBB">
        <w:rPr>
          <w:rFonts w:ascii="Verdana" w:hAnsi="Verdana" w:cs="Arial"/>
          <w:sz w:val="20"/>
          <w:szCs w:val="20"/>
        </w:rPr>
        <w:t>ast year the Government estimated that price rises in the latter part of 2011 would have led to an increase of around 0.4m households in 2012 in England. This results in 3,900,000 fuel poor households in England in 2012, 18.5% of households</w:t>
      </w:r>
    </w:p>
    <w:p w:rsidR="00A711CB" w:rsidRDefault="00A711CB" w:rsidP="003B2DBB">
      <w:pPr>
        <w:tabs>
          <w:tab w:val="left" w:pos="720"/>
          <w:tab w:val="left" w:pos="1440"/>
          <w:tab w:val="left" w:pos="2160"/>
          <w:tab w:val="left" w:pos="2880"/>
          <w:tab w:val="left" w:pos="3600"/>
          <w:tab w:val="left" w:pos="4320"/>
          <w:tab w:val="left" w:pos="6000"/>
        </w:tabs>
        <w:jc w:val="both"/>
        <w:rPr>
          <w:rFonts w:ascii="Verdana" w:hAnsi="Verdana" w:cs="Arial"/>
          <w:sz w:val="20"/>
          <w:szCs w:val="20"/>
        </w:rPr>
      </w:pPr>
    </w:p>
    <w:p w:rsidR="00A711CB" w:rsidRPr="003B2DBB" w:rsidRDefault="00A711CB" w:rsidP="003B2DBB">
      <w:pPr>
        <w:pStyle w:val="ListParagraph"/>
        <w:numPr>
          <w:ilvl w:val="0"/>
          <w:numId w:val="3"/>
        </w:numPr>
        <w:tabs>
          <w:tab w:val="left" w:pos="720"/>
          <w:tab w:val="left" w:pos="1440"/>
          <w:tab w:val="left" w:pos="2160"/>
          <w:tab w:val="left" w:pos="2880"/>
          <w:tab w:val="left" w:pos="3600"/>
          <w:tab w:val="left" w:pos="4320"/>
          <w:tab w:val="left" w:pos="6000"/>
        </w:tabs>
        <w:jc w:val="both"/>
        <w:rPr>
          <w:rFonts w:ascii="Verdana" w:hAnsi="Verdana" w:cs="Arial"/>
          <w:b/>
          <w:sz w:val="20"/>
          <w:szCs w:val="20"/>
        </w:rPr>
      </w:pPr>
      <w:r w:rsidRPr="003B2DBB">
        <w:rPr>
          <w:rFonts w:ascii="Verdana" w:hAnsi="Verdana" w:cs="Arial"/>
          <w:b/>
          <w:sz w:val="20"/>
          <w:szCs w:val="20"/>
        </w:rPr>
        <w:t xml:space="preserve">NEA estimates that due to increases in energy prices since then, this figure is nearer 6 million of all UK households. </w:t>
      </w:r>
    </w:p>
    <w:p w:rsidR="00A711CB" w:rsidRDefault="00A711CB" w:rsidP="003B2DBB">
      <w:pPr>
        <w:tabs>
          <w:tab w:val="left" w:pos="720"/>
          <w:tab w:val="left" w:pos="1440"/>
          <w:tab w:val="left" w:pos="2160"/>
          <w:tab w:val="left" w:pos="2880"/>
          <w:tab w:val="left" w:pos="3600"/>
          <w:tab w:val="left" w:pos="4320"/>
          <w:tab w:val="left" w:pos="6000"/>
        </w:tabs>
        <w:jc w:val="both"/>
        <w:rPr>
          <w:rFonts w:ascii="Verdana" w:hAnsi="Verdana" w:cs="Arial"/>
          <w:sz w:val="20"/>
          <w:szCs w:val="20"/>
        </w:rPr>
      </w:pPr>
    </w:p>
    <w:p w:rsidR="00A711CB" w:rsidRPr="00EA4FC2" w:rsidRDefault="00A711CB" w:rsidP="003B2DBB">
      <w:pPr>
        <w:jc w:val="both"/>
        <w:rPr>
          <w:rFonts w:ascii="Verdana" w:hAnsi="Verdana"/>
          <w:b/>
          <w:sz w:val="20"/>
          <w:szCs w:val="20"/>
        </w:rPr>
      </w:pPr>
      <w:r>
        <w:rPr>
          <w:rFonts w:ascii="Verdana" w:hAnsi="Verdana"/>
          <w:b/>
          <w:sz w:val="20"/>
          <w:szCs w:val="20"/>
        </w:rPr>
        <w:t>Campaigning s</w:t>
      </w:r>
      <w:r w:rsidRPr="00EA4FC2">
        <w:rPr>
          <w:rFonts w:ascii="Verdana" w:hAnsi="Verdana"/>
          <w:b/>
          <w:sz w:val="20"/>
          <w:szCs w:val="20"/>
        </w:rPr>
        <w:t>uccess in 2012/13:</w:t>
      </w:r>
    </w:p>
    <w:p w:rsidR="00A711CB" w:rsidRDefault="00A711CB" w:rsidP="003B2DBB">
      <w:pPr>
        <w:pStyle w:val="ListParagraph"/>
        <w:numPr>
          <w:ilvl w:val="0"/>
          <w:numId w:val="1"/>
        </w:numPr>
        <w:jc w:val="both"/>
        <w:rPr>
          <w:rFonts w:ascii="Verdana" w:hAnsi="Verdana"/>
          <w:sz w:val="20"/>
          <w:szCs w:val="20"/>
        </w:rPr>
      </w:pPr>
      <w:r w:rsidRPr="003B2DBB">
        <w:rPr>
          <w:rFonts w:ascii="Verdana" w:hAnsi="Verdana"/>
          <w:sz w:val="20"/>
          <w:szCs w:val="20"/>
        </w:rPr>
        <w:t xml:space="preserve">NEA led the campaign to enhance the resources available to fuel poor households within the Energy Company Obligation. Following an intervention by the Deputy Prime Minister, the ECO will now target support, worth an estimated £540m every year, to fund energy saving improvements in the worst-off households. </w:t>
      </w:r>
    </w:p>
    <w:p w:rsidR="00A711CB" w:rsidRPr="003B2DBB" w:rsidRDefault="00A711CB" w:rsidP="003B2DBB">
      <w:pPr>
        <w:ind w:left="360"/>
        <w:jc w:val="both"/>
        <w:rPr>
          <w:rFonts w:ascii="Verdana" w:hAnsi="Verdana"/>
          <w:sz w:val="20"/>
          <w:szCs w:val="20"/>
        </w:rPr>
      </w:pPr>
    </w:p>
    <w:p w:rsidR="00A711CB" w:rsidRPr="00EA4FC2" w:rsidRDefault="00A711CB" w:rsidP="003B2DBB">
      <w:pPr>
        <w:pStyle w:val="ListParagraph"/>
        <w:numPr>
          <w:ilvl w:val="0"/>
          <w:numId w:val="1"/>
        </w:numPr>
        <w:jc w:val="both"/>
        <w:rPr>
          <w:rFonts w:ascii="Verdana" w:hAnsi="Verdana"/>
          <w:sz w:val="20"/>
          <w:szCs w:val="20"/>
        </w:rPr>
      </w:pPr>
      <w:r w:rsidRPr="00EA4FC2">
        <w:rPr>
          <w:rFonts w:ascii="Verdana" w:hAnsi="Verdana"/>
          <w:sz w:val="20"/>
          <w:szCs w:val="20"/>
        </w:rPr>
        <w:t xml:space="preserve">Following close engagement with </w:t>
      </w:r>
      <w:r>
        <w:rPr>
          <w:rFonts w:ascii="Verdana" w:hAnsi="Verdana"/>
          <w:sz w:val="20"/>
          <w:szCs w:val="20"/>
        </w:rPr>
        <w:t>O</w:t>
      </w:r>
      <w:r w:rsidRPr="00EA4FC2">
        <w:rPr>
          <w:rFonts w:ascii="Verdana" w:hAnsi="Verdana"/>
          <w:sz w:val="20"/>
          <w:szCs w:val="20"/>
        </w:rPr>
        <w:t xml:space="preserve">fgem, </w:t>
      </w:r>
      <w:r>
        <w:rPr>
          <w:rFonts w:ascii="Verdana" w:hAnsi="Verdana"/>
          <w:sz w:val="20"/>
          <w:szCs w:val="20"/>
        </w:rPr>
        <w:t xml:space="preserve">NEA welcomes the fact that </w:t>
      </w:r>
      <w:r w:rsidRPr="00EA4FC2">
        <w:rPr>
          <w:rFonts w:ascii="Verdana" w:hAnsi="Verdana"/>
          <w:sz w:val="20"/>
          <w:szCs w:val="20"/>
        </w:rPr>
        <w:t>DNOs are to play an important role in supporting fuel poor and vulnerable householders</w:t>
      </w:r>
      <w:r>
        <w:rPr>
          <w:rFonts w:ascii="Verdana" w:hAnsi="Verdana"/>
          <w:sz w:val="20"/>
          <w:szCs w:val="20"/>
        </w:rPr>
        <w:t xml:space="preserve">. Ofgem has </w:t>
      </w:r>
      <w:r w:rsidRPr="00EA4FC2">
        <w:rPr>
          <w:rFonts w:ascii="Verdana" w:hAnsi="Verdana"/>
          <w:sz w:val="20"/>
          <w:szCs w:val="20"/>
        </w:rPr>
        <w:t xml:space="preserve">stated that the 14 electricity distribution companies (DNOs) </w:t>
      </w:r>
      <w:r>
        <w:rPr>
          <w:rFonts w:ascii="Verdana" w:hAnsi="Verdana"/>
          <w:sz w:val="20"/>
          <w:szCs w:val="20"/>
        </w:rPr>
        <w:t xml:space="preserve">will </w:t>
      </w:r>
      <w:r w:rsidRPr="00EA4FC2">
        <w:rPr>
          <w:rFonts w:ascii="Verdana" w:hAnsi="Verdana"/>
          <w:sz w:val="20"/>
          <w:szCs w:val="20"/>
        </w:rPr>
        <w:t xml:space="preserve">have a key role to play in identifying fuel poor and vulnerable customers and delivering solutions. They also note that this will require a major </w:t>
      </w:r>
      <w:r>
        <w:rPr>
          <w:rFonts w:ascii="Verdana" w:hAnsi="Verdana"/>
          <w:sz w:val="20"/>
          <w:szCs w:val="20"/>
        </w:rPr>
        <w:t xml:space="preserve">shift in delivery objectives </w:t>
      </w:r>
      <w:r w:rsidRPr="00EA4FC2">
        <w:rPr>
          <w:rFonts w:ascii="Verdana" w:hAnsi="Verdana"/>
          <w:sz w:val="20"/>
          <w:szCs w:val="20"/>
        </w:rPr>
        <w:t>and have set relevant outputs on DNO’s new social obligations.</w:t>
      </w:r>
    </w:p>
    <w:p w:rsidR="00A711CB" w:rsidRPr="00EA4FC2" w:rsidRDefault="00A711CB" w:rsidP="003B2DBB">
      <w:pPr>
        <w:pStyle w:val="ListParagraph"/>
        <w:rPr>
          <w:rFonts w:ascii="Verdana" w:hAnsi="Verdana"/>
          <w:sz w:val="20"/>
          <w:szCs w:val="20"/>
        </w:rPr>
      </w:pPr>
    </w:p>
    <w:p w:rsidR="00A711CB" w:rsidRDefault="00A711CB" w:rsidP="003B2DBB">
      <w:pPr>
        <w:pStyle w:val="ListParagraph"/>
        <w:numPr>
          <w:ilvl w:val="0"/>
          <w:numId w:val="1"/>
        </w:numPr>
        <w:jc w:val="both"/>
        <w:rPr>
          <w:rFonts w:ascii="Verdana" w:hAnsi="Verdana"/>
          <w:sz w:val="20"/>
          <w:szCs w:val="20"/>
        </w:rPr>
      </w:pPr>
      <w:r w:rsidRPr="003B2DBB">
        <w:rPr>
          <w:rFonts w:ascii="Verdana" w:hAnsi="Verdana"/>
          <w:sz w:val="20"/>
          <w:szCs w:val="20"/>
        </w:rPr>
        <w:t>NEA successfully helped develop</w:t>
      </w:r>
      <w:r>
        <w:rPr>
          <w:rFonts w:ascii="Verdana" w:hAnsi="Verdana"/>
          <w:sz w:val="20"/>
          <w:szCs w:val="20"/>
        </w:rPr>
        <w:t xml:space="preserve"> </w:t>
      </w:r>
      <w:r w:rsidRPr="003B2DBB">
        <w:rPr>
          <w:rFonts w:ascii="Verdana" w:hAnsi="Verdana"/>
          <w:sz w:val="20"/>
          <w:szCs w:val="20"/>
        </w:rPr>
        <w:t xml:space="preserve">the objectives of the Energy Bill Revolution campaign and </w:t>
      </w:r>
      <w:r>
        <w:rPr>
          <w:rFonts w:ascii="Verdana" w:hAnsi="Verdana"/>
          <w:sz w:val="20"/>
          <w:szCs w:val="20"/>
        </w:rPr>
        <w:t>h</w:t>
      </w:r>
      <w:r w:rsidRPr="003B2DBB">
        <w:rPr>
          <w:rFonts w:ascii="Verdana" w:hAnsi="Verdana"/>
          <w:sz w:val="20"/>
          <w:szCs w:val="20"/>
        </w:rPr>
        <w:t xml:space="preserve">elped gain parliamentary and public support for recycling revenues from environmental taxes such as EU-ETS and the Carbon Floor Price back into energy efficiency programmes to tackle fuel poverty. </w:t>
      </w:r>
      <w:r>
        <w:rPr>
          <w:rFonts w:ascii="Verdana" w:hAnsi="Verdana"/>
          <w:sz w:val="20"/>
          <w:szCs w:val="20"/>
        </w:rPr>
        <w:t xml:space="preserve">This campaign continues. </w:t>
      </w:r>
    </w:p>
    <w:p w:rsidR="00A711CB" w:rsidRPr="003B2DBB" w:rsidRDefault="00A711CB" w:rsidP="003B2DBB">
      <w:pPr>
        <w:pStyle w:val="ListParagraph"/>
        <w:rPr>
          <w:rFonts w:ascii="Verdana" w:hAnsi="Verdana"/>
          <w:sz w:val="20"/>
          <w:szCs w:val="20"/>
        </w:rPr>
      </w:pPr>
    </w:p>
    <w:p w:rsidR="00A711CB" w:rsidRDefault="00A711CB" w:rsidP="003B2DBB">
      <w:pPr>
        <w:pStyle w:val="ListParagraph"/>
        <w:numPr>
          <w:ilvl w:val="0"/>
          <w:numId w:val="1"/>
        </w:numPr>
        <w:jc w:val="both"/>
        <w:rPr>
          <w:rFonts w:ascii="Verdana" w:hAnsi="Verdana"/>
          <w:sz w:val="20"/>
          <w:szCs w:val="20"/>
        </w:rPr>
      </w:pPr>
      <w:r w:rsidRPr="00EA4FC2">
        <w:rPr>
          <w:rFonts w:ascii="Verdana" w:hAnsi="Verdana"/>
          <w:sz w:val="20"/>
          <w:szCs w:val="20"/>
        </w:rPr>
        <w:t xml:space="preserve">NEA have helped to accelerate work by the National Institute for Health and Care Excellence’s (NICE) on developing an evidence base for excess winter deaths to aid commissioning and helped gather additional evidence on the impact and the direct financial costs of </w:t>
      </w:r>
      <w:r>
        <w:rPr>
          <w:rFonts w:ascii="Verdana" w:hAnsi="Verdana"/>
          <w:sz w:val="20"/>
          <w:szCs w:val="20"/>
        </w:rPr>
        <w:t>c</w:t>
      </w:r>
      <w:r w:rsidRPr="00EA4FC2">
        <w:rPr>
          <w:rFonts w:ascii="Verdana" w:hAnsi="Verdana"/>
          <w:sz w:val="20"/>
          <w:szCs w:val="20"/>
        </w:rPr>
        <w:t xml:space="preserve">old homes on the wider population to support the case for additional support or further policy interventions. </w:t>
      </w:r>
    </w:p>
    <w:p w:rsidR="00A711CB" w:rsidRPr="003B2DBB" w:rsidRDefault="00A711CB" w:rsidP="003B2DBB">
      <w:pPr>
        <w:pStyle w:val="ListParagraph"/>
        <w:rPr>
          <w:rFonts w:ascii="Verdana" w:hAnsi="Verdana"/>
          <w:sz w:val="20"/>
          <w:szCs w:val="20"/>
        </w:rPr>
      </w:pPr>
    </w:p>
    <w:p w:rsidR="00A711CB" w:rsidRPr="003B2DBB" w:rsidRDefault="00A711CB" w:rsidP="003B2DBB">
      <w:pPr>
        <w:jc w:val="both"/>
        <w:rPr>
          <w:rFonts w:ascii="Verdana" w:hAnsi="Verdana"/>
          <w:b/>
          <w:sz w:val="20"/>
          <w:szCs w:val="20"/>
        </w:rPr>
      </w:pPr>
      <w:r w:rsidRPr="003B2DBB">
        <w:rPr>
          <w:rFonts w:ascii="Verdana" w:hAnsi="Verdana"/>
          <w:b/>
          <w:sz w:val="20"/>
          <w:szCs w:val="20"/>
        </w:rPr>
        <w:t xml:space="preserve">Campaigning – </w:t>
      </w:r>
      <w:r>
        <w:rPr>
          <w:rFonts w:ascii="Verdana" w:hAnsi="Verdana"/>
          <w:b/>
          <w:sz w:val="20"/>
          <w:szCs w:val="20"/>
        </w:rPr>
        <w:t xml:space="preserve">Some key issues for </w:t>
      </w:r>
      <w:r w:rsidRPr="003B2DBB">
        <w:rPr>
          <w:rFonts w:ascii="Verdana" w:hAnsi="Verdana"/>
          <w:b/>
          <w:sz w:val="20"/>
          <w:szCs w:val="20"/>
        </w:rPr>
        <w:t xml:space="preserve">2013/14  </w:t>
      </w:r>
    </w:p>
    <w:p w:rsidR="00A711CB" w:rsidRDefault="00A711CB" w:rsidP="003B2DBB">
      <w:pPr>
        <w:pStyle w:val="ListParagraph"/>
        <w:numPr>
          <w:ilvl w:val="0"/>
          <w:numId w:val="4"/>
        </w:numPr>
        <w:rPr>
          <w:rFonts w:ascii="Verdana" w:hAnsi="Verdana"/>
          <w:sz w:val="20"/>
          <w:szCs w:val="20"/>
        </w:rPr>
      </w:pPr>
      <w:r w:rsidRPr="003B2DBB">
        <w:rPr>
          <w:rFonts w:ascii="Verdana" w:hAnsi="Verdana"/>
          <w:sz w:val="20"/>
          <w:szCs w:val="20"/>
        </w:rPr>
        <w:t xml:space="preserve">To ensure the </w:t>
      </w:r>
      <w:r w:rsidRPr="00566D06">
        <w:rPr>
          <w:rFonts w:ascii="Verdana" w:hAnsi="Verdana"/>
          <w:b/>
          <w:sz w:val="20"/>
          <w:szCs w:val="20"/>
        </w:rPr>
        <w:t>ECO</w:t>
      </w:r>
      <w:r w:rsidRPr="003B2DBB">
        <w:rPr>
          <w:rFonts w:ascii="Verdana" w:hAnsi="Verdana"/>
          <w:sz w:val="20"/>
          <w:szCs w:val="20"/>
        </w:rPr>
        <w:t xml:space="preserve"> is supplemented to fund a comprehensive energy efficiency programme for low-income households. </w:t>
      </w:r>
    </w:p>
    <w:p w:rsidR="00A711CB" w:rsidRPr="003B2DBB" w:rsidRDefault="00A711CB" w:rsidP="003B2DBB">
      <w:pPr>
        <w:ind w:left="75"/>
        <w:rPr>
          <w:rFonts w:ascii="Verdana" w:hAnsi="Verdana"/>
          <w:sz w:val="20"/>
          <w:szCs w:val="20"/>
        </w:rPr>
      </w:pPr>
    </w:p>
    <w:p w:rsidR="00A711CB" w:rsidRDefault="00A711CB" w:rsidP="003B2DBB">
      <w:pPr>
        <w:pStyle w:val="ListParagraph"/>
        <w:numPr>
          <w:ilvl w:val="0"/>
          <w:numId w:val="4"/>
        </w:numPr>
        <w:jc w:val="both"/>
        <w:rPr>
          <w:rFonts w:ascii="Verdana" w:hAnsi="Verdana"/>
          <w:sz w:val="20"/>
          <w:szCs w:val="20"/>
        </w:rPr>
      </w:pPr>
      <w:r w:rsidRPr="003B2DBB">
        <w:rPr>
          <w:rFonts w:ascii="Verdana" w:hAnsi="Verdana"/>
          <w:sz w:val="20"/>
          <w:szCs w:val="20"/>
        </w:rPr>
        <w:t xml:space="preserve">To ensure that the Government commit, draft and pass a subsequent statutory commitment to eradicate fuel poverty (by prioritising the energy efficiency standards of fuel poor households by certain dates) as well as continuing to target support on poorer households with lower than average energy costs. Ensure that instruments such as the </w:t>
      </w:r>
      <w:r w:rsidRPr="00566D06">
        <w:rPr>
          <w:rFonts w:ascii="Verdana" w:hAnsi="Verdana"/>
          <w:b/>
          <w:sz w:val="20"/>
          <w:szCs w:val="20"/>
        </w:rPr>
        <w:t>Winter Fuel Payment</w:t>
      </w:r>
      <w:r w:rsidRPr="003B2DBB">
        <w:rPr>
          <w:rFonts w:ascii="Verdana" w:hAnsi="Verdana"/>
          <w:sz w:val="20"/>
          <w:szCs w:val="20"/>
        </w:rPr>
        <w:t xml:space="preserve"> and </w:t>
      </w:r>
      <w:r w:rsidRPr="00566D06">
        <w:rPr>
          <w:rFonts w:ascii="Verdana" w:hAnsi="Verdana"/>
          <w:b/>
          <w:sz w:val="20"/>
          <w:szCs w:val="20"/>
        </w:rPr>
        <w:t xml:space="preserve">Cold Weather Payment </w:t>
      </w:r>
      <w:r w:rsidRPr="003B2DBB">
        <w:rPr>
          <w:rFonts w:ascii="Verdana" w:hAnsi="Verdana"/>
          <w:sz w:val="20"/>
          <w:szCs w:val="20"/>
        </w:rPr>
        <w:t xml:space="preserve">are retained, extended or reformed to support all groups at risk of fuel poverty (and the quantum of resources preserved for this purpose) in addition to other mechanisms such as the </w:t>
      </w:r>
      <w:r w:rsidRPr="00566D06">
        <w:rPr>
          <w:rFonts w:ascii="Verdana" w:hAnsi="Verdana"/>
          <w:b/>
          <w:sz w:val="20"/>
          <w:szCs w:val="20"/>
        </w:rPr>
        <w:t>Warm Homes Discount</w:t>
      </w:r>
      <w:r w:rsidRPr="003B2DBB">
        <w:rPr>
          <w:rFonts w:ascii="Verdana" w:hAnsi="Verdana"/>
          <w:sz w:val="20"/>
          <w:szCs w:val="20"/>
        </w:rPr>
        <w:t xml:space="preserve"> scheme. </w:t>
      </w:r>
    </w:p>
    <w:p w:rsidR="00A711CB" w:rsidRPr="003B2DBB" w:rsidRDefault="00A711CB" w:rsidP="003B2DBB">
      <w:pPr>
        <w:pStyle w:val="ListParagraph"/>
        <w:rPr>
          <w:rFonts w:ascii="Verdana" w:hAnsi="Verdana"/>
          <w:sz w:val="20"/>
          <w:szCs w:val="20"/>
        </w:rPr>
      </w:pPr>
    </w:p>
    <w:p w:rsidR="00A711CB" w:rsidRDefault="00A711CB" w:rsidP="003B2DBB">
      <w:pPr>
        <w:pStyle w:val="ListParagraph"/>
        <w:numPr>
          <w:ilvl w:val="0"/>
          <w:numId w:val="4"/>
        </w:numPr>
        <w:rPr>
          <w:rFonts w:ascii="Verdana" w:hAnsi="Verdana"/>
          <w:sz w:val="20"/>
          <w:szCs w:val="20"/>
        </w:rPr>
      </w:pPr>
      <w:r w:rsidRPr="003B2DBB">
        <w:rPr>
          <w:rFonts w:ascii="Verdana" w:hAnsi="Verdana"/>
          <w:sz w:val="20"/>
          <w:szCs w:val="20"/>
        </w:rPr>
        <w:t xml:space="preserve">To ensure </w:t>
      </w:r>
      <w:r w:rsidRPr="00566D06">
        <w:rPr>
          <w:rFonts w:ascii="Verdana" w:hAnsi="Verdana"/>
          <w:b/>
          <w:sz w:val="20"/>
          <w:szCs w:val="20"/>
        </w:rPr>
        <w:t>Health and Well-being Boards</w:t>
      </w:r>
      <w:r w:rsidRPr="003B2DBB">
        <w:rPr>
          <w:rFonts w:ascii="Verdana" w:hAnsi="Verdana"/>
          <w:sz w:val="20"/>
          <w:szCs w:val="20"/>
        </w:rPr>
        <w:t xml:space="preserve"> (HWBs) and </w:t>
      </w:r>
      <w:r w:rsidRPr="00566D06">
        <w:rPr>
          <w:rFonts w:ascii="Verdana" w:hAnsi="Verdana"/>
          <w:b/>
          <w:sz w:val="20"/>
          <w:szCs w:val="20"/>
        </w:rPr>
        <w:t>Public Health England</w:t>
      </w:r>
      <w:r w:rsidRPr="003B2DBB">
        <w:rPr>
          <w:rFonts w:ascii="Verdana" w:hAnsi="Verdana"/>
          <w:sz w:val="20"/>
          <w:szCs w:val="20"/>
        </w:rPr>
        <w:t xml:space="preserve"> (PHE) recognise fuel poverty reduction and the health impacts of cold homes as a priority issue and seek to support attempts to create a joint fund across Government (DoH, DECC and DCLG) to offer recurrent funding for public health initiatives that exploit the synergy between positive health outcomes and local or national attempts to reduce carbon emissions and fuel poverty. </w:t>
      </w:r>
    </w:p>
    <w:p w:rsidR="00A711CB" w:rsidRPr="003B2DBB" w:rsidRDefault="00A711CB" w:rsidP="003B2DBB">
      <w:pPr>
        <w:pStyle w:val="ListParagraph"/>
        <w:rPr>
          <w:rFonts w:ascii="Verdana" w:hAnsi="Verdana"/>
          <w:sz w:val="20"/>
          <w:szCs w:val="20"/>
        </w:rPr>
      </w:pPr>
    </w:p>
    <w:p w:rsidR="00A711CB" w:rsidRDefault="00A711CB" w:rsidP="003B2DBB">
      <w:pPr>
        <w:pStyle w:val="ListParagraph"/>
        <w:numPr>
          <w:ilvl w:val="0"/>
          <w:numId w:val="4"/>
        </w:numPr>
        <w:rPr>
          <w:rFonts w:ascii="Verdana" w:hAnsi="Verdana"/>
          <w:sz w:val="20"/>
          <w:szCs w:val="20"/>
        </w:rPr>
      </w:pPr>
      <w:r w:rsidRPr="003B2DBB">
        <w:rPr>
          <w:rFonts w:ascii="Verdana" w:hAnsi="Verdana"/>
          <w:sz w:val="20"/>
          <w:szCs w:val="20"/>
        </w:rPr>
        <w:t xml:space="preserve">To ensure </w:t>
      </w:r>
      <w:r w:rsidRPr="00566D06">
        <w:rPr>
          <w:rFonts w:ascii="Verdana" w:hAnsi="Verdana"/>
          <w:b/>
          <w:sz w:val="20"/>
          <w:szCs w:val="20"/>
        </w:rPr>
        <w:t>private rented sector regulations</w:t>
      </w:r>
      <w:r w:rsidRPr="003B2DBB">
        <w:rPr>
          <w:rFonts w:ascii="Verdana" w:hAnsi="Verdana"/>
          <w:sz w:val="20"/>
          <w:szCs w:val="20"/>
        </w:rPr>
        <w:t xml:space="preserve"> recognis the existing legal responsibly under the Housing Act and to ensure that all funding sources are considered by landlords (not just ECO and GD) and that ECO is effectively signposted. </w:t>
      </w:r>
    </w:p>
    <w:p w:rsidR="00A711CB" w:rsidRPr="003B2DBB" w:rsidRDefault="00A711CB" w:rsidP="003B2DBB">
      <w:pPr>
        <w:ind w:left="75"/>
        <w:rPr>
          <w:rFonts w:ascii="Verdana" w:hAnsi="Verdana"/>
          <w:sz w:val="20"/>
          <w:szCs w:val="20"/>
        </w:rPr>
      </w:pPr>
    </w:p>
    <w:p w:rsidR="00A711CB" w:rsidRDefault="00A711CB" w:rsidP="003B2DBB">
      <w:pPr>
        <w:pStyle w:val="ListParagraph"/>
        <w:numPr>
          <w:ilvl w:val="0"/>
          <w:numId w:val="4"/>
        </w:numPr>
        <w:rPr>
          <w:rFonts w:ascii="Verdana" w:hAnsi="Verdana"/>
          <w:sz w:val="20"/>
          <w:szCs w:val="20"/>
        </w:rPr>
      </w:pPr>
      <w:r w:rsidRPr="003B2DBB">
        <w:rPr>
          <w:rFonts w:ascii="Verdana" w:hAnsi="Verdana"/>
          <w:sz w:val="20"/>
          <w:szCs w:val="20"/>
        </w:rPr>
        <w:t xml:space="preserve">To Influence the formation of the </w:t>
      </w:r>
      <w:r w:rsidRPr="00566D06">
        <w:rPr>
          <w:rFonts w:ascii="Verdana" w:hAnsi="Verdana"/>
          <w:b/>
          <w:sz w:val="20"/>
          <w:szCs w:val="20"/>
        </w:rPr>
        <w:t>smart meter code of installation</w:t>
      </w:r>
      <w:r w:rsidRPr="003B2DBB">
        <w:rPr>
          <w:rFonts w:ascii="Verdana" w:hAnsi="Verdana"/>
          <w:sz w:val="20"/>
          <w:szCs w:val="20"/>
        </w:rPr>
        <w:t xml:space="preserve"> and the consumer engagement strategy so that the customer journey for these groups is more tailored to their needs. </w:t>
      </w:r>
    </w:p>
    <w:p w:rsidR="00A711CB" w:rsidRPr="003B2DBB" w:rsidRDefault="00A711CB" w:rsidP="003B2DBB">
      <w:pPr>
        <w:pStyle w:val="ListParagraph"/>
        <w:rPr>
          <w:rFonts w:ascii="Verdana" w:hAnsi="Verdana"/>
          <w:sz w:val="20"/>
          <w:szCs w:val="20"/>
        </w:rPr>
      </w:pPr>
    </w:p>
    <w:p w:rsidR="00A711CB" w:rsidRDefault="00A711CB" w:rsidP="003B2DBB">
      <w:pPr>
        <w:rPr>
          <w:rFonts w:ascii="Verdana" w:hAnsi="Verdana"/>
          <w:sz w:val="20"/>
          <w:szCs w:val="20"/>
        </w:rPr>
      </w:pPr>
    </w:p>
    <w:p w:rsidR="00A711CB" w:rsidRPr="003B2DBB" w:rsidRDefault="00A711CB" w:rsidP="003B2DBB">
      <w:pPr>
        <w:jc w:val="center"/>
        <w:rPr>
          <w:rFonts w:ascii="Verdana" w:hAnsi="Verdana"/>
          <w:sz w:val="20"/>
          <w:szCs w:val="20"/>
        </w:rPr>
      </w:pPr>
      <w:hyperlink r:id="rId6" w:history="1">
        <w:r w:rsidRPr="003B2DBB">
          <w:rPr>
            <w:rStyle w:val="Hyperlink"/>
            <w:rFonts w:ascii="Verdana" w:hAnsi="Verdana"/>
            <w:sz w:val="20"/>
            <w:szCs w:val="20"/>
          </w:rPr>
          <w:t>www.nea.org.uk</w:t>
        </w:r>
      </w:hyperlink>
    </w:p>
    <w:p w:rsidR="00A711CB" w:rsidRDefault="00A711CB" w:rsidP="003B2DBB">
      <w:pPr>
        <w:rPr>
          <w:rFonts w:ascii="Verdana" w:hAnsi="Verdana"/>
          <w:sz w:val="20"/>
          <w:szCs w:val="20"/>
        </w:rPr>
      </w:pPr>
    </w:p>
    <w:p w:rsidR="00A711CB" w:rsidRPr="003B2DBB" w:rsidRDefault="00A711CB" w:rsidP="003B2DBB">
      <w:pPr>
        <w:jc w:val="both"/>
        <w:rPr>
          <w:rFonts w:ascii="Verdana" w:hAnsi="Verdana"/>
          <w:sz w:val="20"/>
          <w:szCs w:val="20"/>
        </w:rPr>
      </w:pPr>
    </w:p>
    <w:p w:rsidR="00A711CB" w:rsidRPr="00875FA6" w:rsidRDefault="00A711CB" w:rsidP="003B2DBB">
      <w:pPr>
        <w:pStyle w:val="ListParagraph"/>
        <w:rPr>
          <w:rFonts w:ascii="Verdana" w:hAnsi="Verdana"/>
          <w:sz w:val="20"/>
          <w:szCs w:val="20"/>
        </w:rPr>
      </w:pPr>
    </w:p>
    <w:p w:rsidR="00A711CB" w:rsidRDefault="00A711CB"/>
    <w:sectPr w:rsidR="00A711CB" w:rsidSect="00237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511"/>
    <w:multiLevelType w:val="hybridMultilevel"/>
    <w:tmpl w:val="E712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F01A7"/>
    <w:multiLevelType w:val="hybridMultilevel"/>
    <w:tmpl w:val="4C92D7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51C529BC"/>
    <w:multiLevelType w:val="hybridMultilevel"/>
    <w:tmpl w:val="A7F2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D4DC6"/>
    <w:multiLevelType w:val="hybridMultilevel"/>
    <w:tmpl w:val="BD16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DBB"/>
    <w:rsid w:val="000129F2"/>
    <w:rsid w:val="00012CF9"/>
    <w:rsid w:val="00023EBA"/>
    <w:rsid w:val="00026F05"/>
    <w:rsid w:val="00031020"/>
    <w:rsid w:val="000318CC"/>
    <w:rsid w:val="00032500"/>
    <w:rsid w:val="000349BD"/>
    <w:rsid w:val="00035B1F"/>
    <w:rsid w:val="00043544"/>
    <w:rsid w:val="00045E1F"/>
    <w:rsid w:val="00045ED7"/>
    <w:rsid w:val="00046778"/>
    <w:rsid w:val="00050AA5"/>
    <w:rsid w:val="0005133E"/>
    <w:rsid w:val="00055F7B"/>
    <w:rsid w:val="00056609"/>
    <w:rsid w:val="00061A92"/>
    <w:rsid w:val="00061CA7"/>
    <w:rsid w:val="00067144"/>
    <w:rsid w:val="00074369"/>
    <w:rsid w:val="00077595"/>
    <w:rsid w:val="00077DBB"/>
    <w:rsid w:val="00082A90"/>
    <w:rsid w:val="000837E6"/>
    <w:rsid w:val="00084784"/>
    <w:rsid w:val="00085569"/>
    <w:rsid w:val="000910B2"/>
    <w:rsid w:val="0009331B"/>
    <w:rsid w:val="000967E3"/>
    <w:rsid w:val="000A3539"/>
    <w:rsid w:val="000A3707"/>
    <w:rsid w:val="000A722A"/>
    <w:rsid w:val="000A7C14"/>
    <w:rsid w:val="000B06BE"/>
    <w:rsid w:val="000B07EB"/>
    <w:rsid w:val="000B19F5"/>
    <w:rsid w:val="000B2708"/>
    <w:rsid w:val="000B3668"/>
    <w:rsid w:val="000B76A4"/>
    <w:rsid w:val="000C0C44"/>
    <w:rsid w:val="000C2A01"/>
    <w:rsid w:val="000C2A22"/>
    <w:rsid w:val="000C6834"/>
    <w:rsid w:val="000E3A0F"/>
    <w:rsid w:val="000E43EE"/>
    <w:rsid w:val="000F26E2"/>
    <w:rsid w:val="000F39E2"/>
    <w:rsid w:val="000F3E1E"/>
    <w:rsid w:val="000F75A3"/>
    <w:rsid w:val="00100D58"/>
    <w:rsid w:val="001010F1"/>
    <w:rsid w:val="001028B1"/>
    <w:rsid w:val="00103901"/>
    <w:rsid w:val="00111755"/>
    <w:rsid w:val="001130BF"/>
    <w:rsid w:val="001154FE"/>
    <w:rsid w:val="0011674D"/>
    <w:rsid w:val="00117C14"/>
    <w:rsid w:val="0012002E"/>
    <w:rsid w:val="00127363"/>
    <w:rsid w:val="00133BD2"/>
    <w:rsid w:val="001361E0"/>
    <w:rsid w:val="0013658F"/>
    <w:rsid w:val="001417B6"/>
    <w:rsid w:val="00146416"/>
    <w:rsid w:val="00146830"/>
    <w:rsid w:val="00151CEE"/>
    <w:rsid w:val="00163035"/>
    <w:rsid w:val="001679F2"/>
    <w:rsid w:val="00172AE0"/>
    <w:rsid w:val="00172B29"/>
    <w:rsid w:val="0017626A"/>
    <w:rsid w:val="00177957"/>
    <w:rsid w:val="00181EDD"/>
    <w:rsid w:val="00196450"/>
    <w:rsid w:val="001A30B2"/>
    <w:rsid w:val="001A4E7E"/>
    <w:rsid w:val="001A5FA2"/>
    <w:rsid w:val="001B3FA3"/>
    <w:rsid w:val="001B55EA"/>
    <w:rsid w:val="001B681C"/>
    <w:rsid w:val="001C6791"/>
    <w:rsid w:val="001D2EF0"/>
    <w:rsid w:val="001D46F4"/>
    <w:rsid w:val="001D6AEA"/>
    <w:rsid w:val="001E0F27"/>
    <w:rsid w:val="001E728D"/>
    <w:rsid w:val="001F4161"/>
    <w:rsid w:val="001F5A3A"/>
    <w:rsid w:val="001F5E7F"/>
    <w:rsid w:val="001F7AEA"/>
    <w:rsid w:val="00214821"/>
    <w:rsid w:val="00214AE8"/>
    <w:rsid w:val="00217AC9"/>
    <w:rsid w:val="00227EAD"/>
    <w:rsid w:val="0023781A"/>
    <w:rsid w:val="00241D41"/>
    <w:rsid w:val="00242ED7"/>
    <w:rsid w:val="00244727"/>
    <w:rsid w:val="0024533F"/>
    <w:rsid w:val="002503E5"/>
    <w:rsid w:val="00252E0F"/>
    <w:rsid w:val="00253223"/>
    <w:rsid w:val="00256AAF"/>
    <w:rsid w:val="00261586"/>
    <w:rsid w:val="00276B8A"/>
    <w:rsid w:val="00277AE3"/>
    <w:rsid w:val="002807D2"/>
    <w:rsid w:val="00296864"/>
    <w:rsid w:val="00296A05"/>
    <w:rsid w:val="002A4F92"/>
    <w:rsid w:val="002A4FC0"/>
    <w:rsid w:val="002C2AF5"/>
    <w:rsid w:val="002C5A6A"/>
    <w:rsid w:val="002D04B4"/>
    <w:rsid w:val="002D761F"/>
    <w:rsid w:val="002E49D3"/>
    <w:rsid w:val="002E59DF"/>
    <w:rsid w:val="002E75E7"/>
    <w:rsid w:val="002F22A0"/>
    <w:rsid w:val="002F598C"/>
    <w:rsid w:val="003018F3"/>
    <w:rsid w:val="00302248"/>
    <w:rsid w:val="0030328C"/>
    <w:rsid w:val="003100AE"/>
    <w:rsid w:val="00311BE4"/>
    <w:rsid w:val="00316133"/>
    <w:rsid w:val="003174A2"/>
    <w:rsid w:val="003202A8"/>
    <w:rsid w:val="00320AE3"/>
    <w:rsid w:val="003217A9"/>
    <w:rsid w:val="00322A52"/>
    <w:rsid w:val="00324E9C"/>
    <w:rsid w:val="0032562E"/>
    <w:rsid w:val="00332B3E"/>
    <w:rsid w:val="00334C0F"/>
    <w:rsid w:val="00344B24"/>
    <w:rsid w:val="00345C7A"/>
    <w:rsid w:val="0034621F"/>
    <w:rsid w:val="00351D1A"/>
    <w:rsid w:val="003551C0"/>
    <w:rsid w:val="003563C3"/>
    <w:rsid w:val="00357190"/>
    <w:rsid w:val="0035728A"/>
    <w:rsid w:val="00357463"/>
    <w:rsid w:val="00360F7D"/>
    <w:rsid w:val="00361F3C"/>
    <w:rsid w:val="00362119"/>
    <w:rsid w:val="003712F6"/>
    <w:rsid w:val="00371510"/>
    <w:rsid w:val="00376CA9"/>
    <w:rsid w:val="00377D1C"/>
    <w:rsid w:val="0038211F"/>
    <w:rsid w:val="00384575"/>
    <w:rsid w:val="0038505E"/>
    <w:rsid w:val="003918EF"/>
    <w:rsid w:val="00394A1E"/>
    <w:rsid w:val="003B1212"/>
    <w:rsid w:val="003B2AB7"/>
    <w:rsid w:val="003B2DBB"/>
    <w:rsid w:val="003B6162"/>
    <w:rsid w:val="003C3FD3"/>
    <w:rsid w:val="003C5F87"/>
    <w:rsid w:val="003D0752"/>
    <w:rsid w:val="003D60A4"/>
    <w:rsid w:val="003F3BDF"/>
    <w:rsid w:val="00403726"/>
    <w:rsid w:val="00406CDF"/>
    <w:rsid w:val="00407228"/>
    <w:rsid w:val="0040724C"/>
    <w:rsid w:val="004135E4"/>
    <w:rsid w:val="004258F8"/>
    <w:rsid w:val="00426010"/>
    <w:rsid w:val="0043785A"/>
    <w:rsid w:val="00442955"/>
    <w:rsid w:val="0044348D"/>
    <w:rsid w:val="00444147"/>
    <w:rsid w:val="004455B6"/>
    <w:rsid w:val="00450F00"/>
    <w:rsid w:val="004527BB"/>
    <w:rsid w:val="0045458A"/>
    <w:rsid w:val="0046657D"/>
    <w:rsid w:val="00472EDD"/>
    <w:rsid w:val="004775B6"/>
    <w:rsid w:val="00481789"/>
    <w:rsid w:val="00481D1A"/>
    <w:rsid w:val="004900D3"/>
    <w:rsid w:val="00494547"/>
    <w:rsid w:val="00495CE3"/>
    <w:rsid w:val="004A0A69"/>
    <w:rsid w:val="004A1062"/>
    <w:rsid w:val="004A40B6"/>
    <w:rsid w:val="004A4A93"/>
    <w:rsid w:val="004A5379"/>
    <w:rsid w:val="004A681B"/>
    <w:rsid w:val="004B39A3"/>
    <w:rsid w:val="004B664B"/>
    <w:rsid w:val="004C575A"/>
    <w:rsid w:val="004D1530"/>
    <w:rsid w:val="004D7AEA"/>
    <w:rsid w:val="004E5FC5"/>
    <w:rsid w:val="004F2BA7"/>
    <w:rsid w:val="004F3FC4"/>
    <w:rsid w:val="005005ED"/>
    <w:rsid w:val="005018DD"/>
    <w:rsid w:val="00502D1B"/>
    <w:rsid w:val="00503928"/>
    <w:rsid w:val="00505843"/>
    <w:rsid w:val="005124B5"/>
    <w:rsid w:val="0051769A"/>
    <w:rsid w:val="005200A0"/>
    <w:rsid w:val="00522D8C"/>
    <w:rsid w:val="00525AF6"/>
    <w:rsid w:val="00527343"/>
    <w:rsid w:val="0052734D"/>
    <w:rsid w:val="005315A5"/>
    <w:rsid w:val="005323AC"/>
    <w:rsid w:val="00534C46"/>
    <w:rsid w:val="005461A3"/>
    <w:rsid w:val="005523CA"/>
    <w:rsid w:val="00561A5D"/>
    <w:rsid w:val="005624D9"/>
    <w:rsid w:val="00562CB7"/>
    <w:rsid w:val="00566D06"/>
    <w:rsid w:val="005674D5"/>
    <w:rsid w:val="00567F88"/>
    <w:rsid w:val="00573D0E"/>
    <w:rsid w:val="00574169"/>
    <w:rsid w:val="00575BD4"/>
    <w:rsid w:val="00584485"/>
    <w:rsid w:val="0058582A"/>
    <w:rsid w:val="00590AEE"/>
    <w:rsid w:val="005919F2"/>
    <w:rsid w:val="00593B1F"/>
    <w:rsid w:val="005A326A"/>
    <w:rsid w:val="005A4BE3"/>
    <w:rsid w:val="005A5F39"/>
    <w:rsid w:val="005B49F4"/>
    <w:rsid w:val="005B50C7"/>
    <w:rsid w:val="005C46D2"/>
    <w:rsid w:val="005D3A94"/>
    <w:rsid w:val="005D41A4"/>
    <w:rsid w:val="005D5D0D"/>
    <w:rsid w:val="005E02DB"/>
    <w:rsid w:val="005E2F2B"/>
    <w:rsid w:val="005E76C6"/>
    <w:rsid w:val="005F0529"/>
    <w:rsid w:val="005F289D"/>
    <w:rsid w:val="005F47A9"/>
    <w:rsid w:val="005F5964"/>
    <w:rsid w:val="005F7E57"/>
    <w:rsid w:val="006025C7"/>
    <w:rsid w:val="006052C0"/>
    <w:rsid w:val="00606BF8"/>
    <w:rsid w:val="00610564"/>
    <w:rsid w:val="00613A9A"/>
    <w:rsid w:val="00613CE5"/>
    <w:rsid w:val="006155A9"/>
    <w:rsid w:val="00622C74"/>
    <w:rsid w:val="006246EB"/>
    <w:rsid w:val="0062554C"/>
    <w:rsid w:val="00632870"/>
    <w:rsid w:val="0063356A"/>
    <w:rsid w:val="0063495D"/>
    <w:rsid w:val="006375E6"/>
    <w:rsid w:val="006437FE"/>
    <w:rsid w:val="00647230"/>
    <w:rsid w:val="0065138B"/>
    <w:rsid w:val="00655393"/>
    <w:rsid w:val="0066013C"/>
    <w:rsid w:val="00670DFC"/>
    <w:rsid w:val="00681139"/>
    <w:rsid w:val="006869DB"/>
    <w:rsid w:val="00697035"/>
    <w:rsid w:val="00697074"/>
    <w:rsid w:val="006B00AB"/>
    <w:rsid w:val="006B70FD"/>
    <w:rsid w:val="006C26EC"/>
    <w:rsid w:val="006D1CDF"/>
    <w:rsid w:val="006D4E7E"/>
    <w:rsid w:val="006D6D8C"/>
    <w:rsid w:val="006E044B"/>
    <w:rsid w:val="006E4CF2"/>
    <w:rsid w:val="006F272F"/>
    <w:rsid w:val="006F6CED"/>
    <w:rsid w:val="00706825"/>
    <w:rsid w:val="00707C71"/>
    <w:rsid w:val="0071321F"/>
    <w:rsid w:val="00713F4C"/>
    <w:rsid w:val="0071465E"/>
    <w:rsid w:val="00716B14"/>
    <w:rsid w:val="0071722C"/>
    <w:rsid w:val="00734C36"/>
    <w:rsid w:val="00737B9E"/>
    <w:rsid w:val="00741DF0"/>
    <w:rsid w:val="0074733C"/>
    <w:rsid w:val="007479FF"/>
    <w:rsid w:val="0075099D"/>
    <w:rsid w:val="0075247E"/>
    <w:rsid w:val="007533DE"/>
    <w:rsid w:val="007561B5"/>
    <w:rsid w:val="007722A0"/>
    <w:rsid w:val="00774FE9"/>
    <w:rsid w:val="00787671"/>
    <w:rsid w:val="0079082B"/>
    <w:rsid w:val="00793EB9"/>
    <w:rsid w:val="007A1BA1"/>
    <w:rsid w:val="007A34DD"/>
    <w:rsid w:val="007A4811"/>
    <w:rsid w:val="007A4A3F"/>
    <w:rsid w:val="007B3E2D"/>
    <w:rsid w:val="007C424D"/>
    <w:rsid w:val="007C6487"/>
    <w:rsid w:val="007C713D"/>
    <w:rsid w:val="007D069E"/>
    <w:rsid w:val="007E12F7"/>
    <w:rsid w:val="007E7FEB"/>
    <w:rsid w:val="007F4415"/>
    <w:rsid w:val="00802A15"/>
    <w:rsid w:val="00803F0B"/>
    <w:rsid w:val="00815BEE"/>
    <w:rsid w:val="00820A85"/>
    <w:rsid w:val="0082176A"/>
    <w:rsid w:val="0082415A"/>
    <w:rsid w:val="00824218"/>
    <w:rsid w:val="0083138C"/>
    <w:rsid w:val="00832B5E"/>
    <w:rsid w:val="00834939"/>
    <w:rsid w:val="00842BB3"/>
    <w:rsid w:val="00843F32"/>
    <w:rsid w:val="00847DB5"/>
    <w:rsid w:val="00855617"/>
    <w:rsid w:val="00855728"/>
    <w:rsid w:val="00860C89"/>
    <w:rsid w:val="00860D43"/>
    <w:rsid w:val="00864341"/>
    <w:rsid w:val="00866C8D"/>
    <w:rsid w:val="00867E24"/>
    <w:rsid w:val="008714DA"/>
    <w:rsid w:val="0087233C"/>
    <w:rsid w:val="00872533"/>
    <w:rsid w:val="00873469"/>
    <w:rsid w:val="00873D5E"/>
    <w:rsid w:val="0087427A"/>
    <w:rsid w:val="00875FA6"/>
    <w:rsid w:val="00882BF2"/>
    <w:rsid w:val="008908EA"/>
    <w:rsid w:val="008944E0"/>
    <w:rsid w:val="008A0ADA"/>
    <w:rsid w:val="008A2F83"/>
    <w:rsid w:val="008A7E51"/>
    <w:rsid w:val="008B1090"/>
    <w:rsid w:val="008B4012"/>
    <w:rsid w:val="008C26B9"/>
    <w:rsid w:val="008C6C9E"/>
    <w:rsid w:val="008D2623"/>
    <w:rsid w:val="008D427D"/>
    <w:rsid w:val="008E3A42"/>
    <w:rsid w:val="008F0CBC"/>
    <w:rsid w:val="00903B71"/>
    <w:rsid w:val="00903E38"/>
    <w:rsid w:val="00904C96"/>
    <w:rsid w:val="009053AE"/>
    <w:rsid w:val="0091145D"/>
    <w:rsid w:val="00915E29"/>
    <w:rsid w:val="00930F23"/>
    <w:rsid w:val="009320B5"/>
    <w:rsid w:val="00933D30"/>
    <w:rsid w:val="0094192A"/>
    <w:rsid w:val="00947927"/>
    <w:rsid w:val="009506C8"/>
    <w:rsid w:val="00953492"/>
    <w:rsid w:val="00961C53"/>
    <w:rsid w:val="00962791"/>
    <w:rsid w:val="00963339"/>
    <w:rsid w:val="0096412E"/>
    <w:rsid w:val="00971E7C"/>
    <w:rsid w:val="0098062A"/>
    <w:rsid w:val="00983708"/>
    <w:rsid w:val="00984715"/>
    <w:rsid w:val="009907BD"/>
    <w:rsid w:val="00992DDE"/>
    <w:rsid w:val="00995ACC"/>
    <w:rsid w:val="009A14CD"/>
    <w:rsid w:val="009A2A96"/>
    <w:rsid w:val="009A547A"/>
    <w:rsid w:val="009A58A2"/>
    <w:rsid w:val="009A5A66"/>
    <w:rsid w:val="009C0F7E"/>
    <w:rsid w:val="009C2330"/>
    <w:rsid w:val="009C2ADA"/>
    <w:rsid w:val="009C2E50"/>
    <w:rsid w:val="009D1221"/>
    <w:rsid w:val="009D4E38"/>
    <w:rsid w:val="009D4F0B"/>
    <w:rsid w:val="009D6265"/>
    <w:rsid w:val="009E3C2A"/>
    <w:rsid w:val="009E5B43"/>
    <w:rsid w:val="009E766B"/>
    <w:rsid w:val="009F0C32"/>
    <w:rsid w:val="009F0E80"/>
    <w:rsid w:val="009F3EAD"/>
    <w:rsid w:val="009F7563"/>
    <w:rsid w:val="00A01E00"/>
    <w:rsid w:val="00A06155"/>
    <w:rsid w:val="00A07FD8"/>
    <w:rsid w:val="00A10C1D"/>
    <w:rsid w:val="00A15CF1"/>
    <w:rsid w:val="00A21EB2"/>
    <w:rsid w:val="00A2437A"/>
    <w:rsid w:val="00A3019E"/>
    <w:rsid w:val="00A3153D"/>
    <w:rsid w:val="00A31E06"/>
    <w:rsid w:val="00A41DD7"/>
    <w:rsid w:val="00A43A51"/>
    <w:rsid w:val="00A64AF4"/>
    <w:rsid w:val="00A70C69"/>
    <w:rsid w:val="00A711CB"/>
    <w:rsid w:val="00A725C2"/>
    <w:rsid w:val="00A73C9C"/>
    <w:rsid w:val="00A93A15"/>
    <w:rsid w:val="00AA26C5"/>
    <w:rsid w:val="00AA7C70"/>
    <w:rsid w:val="00AB567A"/>
    <w:rsid w:val="00AB63A4"/>
    <w:rsid w:val="00AC4987"/>
    <w:rsid w:val="00AD79A4"/>
    <w:rsid w:val="00AE03D4"/>
    <w:rsid w:val="00AE39DD"/>
    <w:rsid w:val="00AE44F0"/>
    <w:rsid w:val="00AE547B"/>
    <w:rsid w:val="00AE77A4"/>
    <w:rsid w:val="00AF1C2D"/>
    <w:rsid w:val="00AF4358"/>
    <w:rsid w:val="00AF6391"/>
    <w:rsid w:val="00AF6816"/>
    <w:rsid w:val="00AF7068"/>
    <w:rsid w:val="00B051AA"/>
    <w:rsid w:val="00B0651F"/>
    <w:rsid w:val="00B1188B"/>
    <w:rsid w:val="00B1279D"/>
    <w:rsid w:val="00B129A4"/>
    <w:rsid w:val="00B15B0A"/>
    <w:rsid w:val="00B16271"/>
    <w:rsid w:val="00B16935"/>
    <w:rsid w:val="00B24710"/>
    <w:rsid w:val="00B26572"/>
    <w:rsid w:val="00B3280B"/>
    <w:rsid w:val="00B40C77"/>
    <w:rsid w:val="00B43605"/>
    <w:rsid w:val="00B467EE"/>
    <w:rsid w:val="00B46A74"/>
    <w:rsid w:val="00B47460"/>
    <w:rsid w:val="00B54030"/>
    <w:rsid w:val="00B54723"/>
    <w:rsid w:val="00B60B4F"/>
    <w:rsid w:val="00B645DA"/>
    <w:rsid w:val="00B654EF"/>
    <w:rsid w:val="00B8110D"/>
    <w:rsid w:val="00B81500"/>
    <w:rsid w:val="00B84C03"/>
    <w:rsid w:val="00B86233"/>
    <w:rsid w:val="00B86546"/>
    <w:rsid w:val="00B92022"/>
    <w:rsid w:val="00B94F72"/>
    <w:rsid w:val="00BA1860"/>
    <w:rsid w:val="00BA5254"/>
    <w:rsid w:val="00BA6C05"/>
    <w:rsid w:val="00BA7CE4"/>
    <w:rsid w:val="00BB19C9"/>
    <w:rsid w:val="00BB4CA7"/>
    <w:rsid w:val="00BC6288"/>
    <w:rsid w:val="00BE50E4"/>
    <w:rsid w:val="00BF0A2D"/>
    <w:rsid w:val="00BF3BD3"/>
    <w:rsid w:val="00BF6C26"/>
    <w:rsid w:val="00BF7CF5"/>
    <w:rsid w:val="00C1239C"/>
    <w:rsid w:val="00C27506"/>
    <w:rsid w:val="00C305CF"/>
    <w:rsid w:val="00C32632"/>
    <w:rsid w:val="00C34644"/>
    <w:rsid w:val="00C4326C"/>
    <w:rsid w:val="00C57E14"/>
    <w:rsid w:val="00C606C2"/>
    <w:rsid w:val="00C61FDC"/>
    <w:rsid w:val="00C64283"/>
    <w:rsid w:val="00C70A60"/>
    <w:rsid w:val="00C759AE"/>
    <w:rsid w:val="00C77EC1"/>
    <w:rsid w:val="00C814BD"/>
    <w:rsid w:val="00C836FE"/>
    <w:rsid w:val="00C912B7"/>
    <w:rsid w:val="00C924A4"/>
    <w:rsid w:val="00C92670"/>
    <w:rsid w:val="00C976A1"/>
    <w:rsid w:val="00CA2016"/>
    <w:rsid w:val="00CA7D81"/>
    <w:rsid w:val="00CB3A70"/>
    <w:rsid w:val="00CB5439"/>
    <w:rsid w:val="00CE5D02"/>
    <w:rsid w:val="00CF472D"/>
    <w:rsid w:val="00D05C4A"/>
    <w:rsid w:val="00D06F0D"/>
    <w:rsid w:val="00D07C0F"/>
    <w:rsid w:val="00D1150A"/>
    <w:rsid w:val="00D15D31"/>
    <w:rsid w:val="00D26B3D"/>
    <w:rsid w:val="00D30783"/>
    <w:rsid w:val="00D31191"/>
    <w:rsid w:val="00D364E3"/>
    <w:rsid w:val="00D41223"/>
    <w:rsid w:val="00D4156B"/>
    <w:rsid w:val="00D417BE"/>
    <w:rsid w:val="00D44367"/>
    <w:rsid w:val="00D44D09"/>
    <w:rsid w:val="00D54E20"/>
    <w:rsid w:val="00D56A5C"/>
    <w:rsid w:val="00D6199F"/>
    <w:rsid w:val="00D65517"/>
    <w:rsid w:val="00D70D2B"/>
    <w:rsid w:val="00D713C0"/>
    <w:rsid w:val="00D7149D"/>
    <w:rsid w:val="00D7377A"/>
    <w:rsid w:val="00D73852"/>
    <w:rsid w:val="00D76C70"/>
    <w:rsid w:val="00D77A96"/>
    <w:rsid w:val="00D8346F"/>
    <w:rsid w:val="00D8766F"/>
    <w:rsid w:val="00D900FC"/>
    <w:rsid w:val="00DB1638"/>
    <w:rsid w:val="00DB1779"/>
    <w:rsid w:val="00DC0228"/>
    <w:rsid w:val="00DC16D6"/>
    <w:rsid w:val="00DC364E"/>
    <w:rsid w:val="00DD2329"/>
    <w:rsid w:val="00DD28AD"/>
    <w:rsid w:val="00DD2D7F"/>
    <w:rsid w:val="00DD5D36"/>
    <w:rsid w:val="00DE02A0"/>
    <w:rsid w:val="00DE229E"/>
    <w:rsid w:val="00DE27E8"/>
    <w:rsid w:val="00DE7A16"/>
    <w:rsid w:val="00DF58EC"/>
    <w:rsid w:val="00DF7FD1"/>
    <w:rsid w:val="00E04A0C"/>
    <w:rsid w:val="00E12202"/>
    <w:rsid w:val="00E12C5C"/>
    <w:rsid w:val="00E14825"/>
    <w:rsid w:val="00E238B3"/>
    <w:rsid w:val="00E24B70"/>
    <w:rsid w:val="00E257C8"/>
    <w:rsid w:val="00E32DB3"/>
    <w:rsid w:val="00E3654F"/>
    <w:rsid w:val="00E44277"/>
    <w:rsid w:val="00E5027C"/>
    <w:rsid w:val="00E50D96"/>
    <w:rsid w:val="00E5118B"/>
    <w:rsid w:val="00E51EF5"/>
    <w:rsid w:val="00E52447"/>
    <w:rsid w:val="00E52F27"/>
    <w:rsid w:val="00E55687"/>
    <w:rsid w:val="00E61A82"/>
    <w:rsid w:val="00E62132"/>
    <w:rsid w:val="00E63355"/>
    <w:rsid w:val="00E642B5"/>
    <w:rsid w:val="00E7129B"/>
    <w:rsid w:val="00E86C9F"/>
    <w:rsid w:val="00E87EA9"/>
    <w:rsid w:val="00E90974"/>
    <w:rsid w:val="00E94D97"/>
    <w:rsid w:val="00E9743E"/>
    <w:rsid w:val="00EA01EE"/>
    <w:rsid w:val="00EA4FC2"/>
    <w:rsid w:val="00EA79B5"/>
    <w:rsid w:val="00EB72B2"/>
    <w:rsid w:val="00EC60B8"/>
    <w:rsid w:val="00EC722E"/>
    <w:rsid w:val="00EC72B0"/>
    <w:rsid w:val="00ED190A"/>
    <w:rsid w:val="00ED28C7"/>
    <w:rsid w:val="00EE143F"/>
    <w:rsid w:val="00EF0813"/>
    <w:rsid w:val="00EF1ED0"/>
    <w:rsid w:val="00F016C0"/>
    <w:rsid w:val="00F02602"/>
    <w:rsid w:val="00F05FE2"/>
    <w:rsid w:val="00F07ED2"/>
    <w:rsid w:val="00F1070B"/>
    <w:rsid w:val="00F16B28"/>
    <w:rsid w:val="00F17974"/>
    <w:rsid w:val="00F31619"/>
    <w:rsid w:val="00F32700"/>
    <w:rsid w:val="00F347CD"/>
    <w:rsid w:val="00F36056"/>
    <w:rsid w:val="00F362EC"/>
    <w:rsid w:val="00F37316"/>
    <w:rsid w:val="00F41294"/>
    <w:rsid w:val="00F46216"/>
    <w:rsid w:val="00F5718C"/>
    <w:rsid w:val="00F61CCF"/>
    <w:rsid w:val="00F62050"/>
    <w:rsid w:val="00F62DBC"/>
    <w:rsid w:val="00F637D0"/>
    <w:rsid w:val="00F63EE1"/>
    <w:rsid w:val="00F67469"/>
    <w:rsid w:val="00F70766"/>
    <w:rsid w:val="00F732A3"/>
    <w:rsid w:val="00F732DC"/>
    <w:rsid w:val="00F73BE2"/>
    <w:rsid w:val="00F74952"/>
    <w:rsid w:val="00F81D56"/>
    <w:rsid w:val="00F833FE"/>
    <w:rsid w:val="00F86260"/>
    <w:rsid w:val="00F86A57"/>
    <w:rsid w:val="00F938D6"/>
    <w:rsid w:val="00F9444D"/>
    <w:rsid w:val="00FA189F"/>
    <w:rsid w:val="00FA3426"/>
    <w:rsid w:val="00FA780D"/>
    <w:rsid w:val="00FB4D1D"/>
    <w:rsid w:val="00FB4E88"/>
    <w:rsid w:val="00FB5219"/>
    <w:rsid w:val="00FC4C3D"/>
    <w:rsid w:val="00FD4344"/>
    <w:rsid w:val="00FD4E71"/>
    <w:rsid w:val="00FE5FE7"/>
    <w:rsid w:val="00FF3289"/>
    <w:rsid w:val="00FF3B73"/>
    <w:rsid w:val="00FF6148"/>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B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BB"/>
    <w:pPr>
      <w:ind w:left="720"/>
    </w:pPr>
  </w:style>
  <w:style w:type="paragraph" w:styleId="BalloonText">
    <w:name w:val="Balloon Text"/>
    <w:basedOn w:val="Normal"/>
    <w:link w:val="BalloonTextChar"/>
    <w:uiPriority w:val="99"/>
    <w:semiHidden/>
    <w:rsid w:val="003B2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2DBB"/>
    <w:rPr>
      <w:rFonts w:ascii="Tahoma" w:hAnsi="Tahoma" w:cs="Tahoma"/>
      <w:sz w:val="16"/>
      <w:szCs w:val="16"/>
      <w:lang w:eastAsia="en-GB"/>
    </w:rPr>
  </w:style>
  <w:style w:type="character" w:styleId="Hyperlink">
    <w:name w:val="Hyperlink"/>
    <w:basedOn w:val="DefaultParagraphFont"/>
    <w:uiPriority w:val="99"/>
    <w:rsid w:val="003B2D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5054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nea.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577</Words>
  <Characters>3291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Sumby</dc:creator>
  <cp:keywords/>
  <dc:description/>
  <cp:lastModifiedBy>EK6896</cp:lastModifiedBy>
  <cp:revision>2</cp:revision>
  <dcterms:created xsi:type="dcterms:W3CDTF">2013-05-22T10:09:00Z</dcterms:created>
  <dcterms:modified xsi:type="dcterms:W3CDTF">2013-05-22T10:09:00Z</dcterms:modified>
</cp:coreProperties>
</file>